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80D5D88"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280D5D88"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80D5D88" w:rsidRDefault="008A634A" w14:paraId="18F6B4F6" w14:noSpellErr="1" w14:textId="603BD747">
            <w:pPr>
              <w:rPr>
                <w:rFonts w:ascii="Calibri" w:hAnsi="Calibri" w:eastAsia="Calibri" w:cs="Calibri" w:asciiTheme="majorAscii" w:hAnsiTheme="majorAscii" w:eastAsiaTheme="majorAscii" w:cstheme="majorAscii"/>
              </w:rPr>
            </w:pPr>
            <w:r w:rsidRPr="280D5D88" w:rsidR="280D5D88">
              <w:rPr>
                <w:rFonts w:ascii="Calibri" w:hAnsi="Calibri" w:eastAsia="Calibri" w:cs="Calibri" w:asciiTheme="majorAscii" w:hAnsiTheme="majorAscii" w:eastAsiaTheme="majorAscii" w:cstheme="majorAscii"/>
              </w:rPr>
              <w:t>27 June 2008</w:t>
            </w:r>
          </w:p>
        </w:tc>
      </w:tr>
      <w:tr w:rsidR="008A634A" w:rsidTr="280D5D88"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0D60B5CF" w14:textId="2A368824">
            <w:pPr/>
          </w:p>
          <w:p w:rsidRPr="0099243E" w:rsidR="008A634A" w:rsidP="0099243E" w:rsidRDefault="008A634A" w14:paraId="727E56C7" w14:textId="0EA6794B">
            <w:pPr/>
          </w:p>
          <w:p w:rsidRPr="0099243E" w:rsidR="008A634A" w:rsidP="0099243E" w:rsidRDefault="008A634A" w14:noSpellErr="1" w14:paraId="15134EA6" w14:textId="3796822A">
            <w:pPr/>
            <w:r w:rsidRPr="280D5D88" w:rsidR="280D5D88">
              <w:rPr>
                <w:rFonts w:ascii="Calibri" w:hAnsi="Calibri" w:eastAsia="Calibri" w:cs="Calibri"/>
                <w:b w:val="1"/>
                <w:bCs w:val="1"/>
                <w:noProof w:val="0"/>
                <w:color w:val="333333"/>
                <w:sz w:val="21"/>
                <w:szCs w:val="21"/>
                <w:lang w:val="en-GB"/>
              </w:rPr>
              <w:t>A Life Course Approach to Tackling Obesity</w:t>
            </w:r>
          </w:p>
          <w:p w:rsidRPr="0099243E" w:rsidR="008A634A" w:rsidP="0099243E" w:rsidRDefault="008A634A" w14:paraId="373DC3E5" w14:textId="30360770">
            <w:pPr/>
          </w:p>
          <w:p w:rsidRPr="0099243E" w:rsidR="008A634A" w:rsidP="280D5D88" w:rsidRDefault="008A634A" w14:paraId="647E4217" w14:noSpellErr="1" w14:textId="56C21951">
            <w:pPr>
              <w:pStyle w:val="Normal"/>
              <w:rPr>
                <w:rFonts w:ascii="Calibri" w:hAnsi="Calibri" w:eastAsia="Calibri" w:cs="Calibri" w:asciiTheme="majorAscii" w:hAnsiTheme="majorAscii" w:eastAsiaTheme="majorAscii" w:cstheme="majorAscii"/>
              </w:rPr>
            </w:pPr>
          </w:p>
        </w:tc>
      </w:tr>
      <w:tr w:rsidR="008A634A" w:rsidTr="280D5D88"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280D5D88" w:rsidRDefault="008A634A" w14:paraId="3988024A" w14:noSpellErr="1" w14:textId="1C1ACD64">
            <w:pPr>
              <w:pStyle w:val="Normal"/>
              <w:rPr>
                <w:rFonts w:asciiTheme="majorHAnsi" w:hAnsiTheme="majorHAnsi"/>
              </w:rPr>
            </w:pPr>
            <w:r w:rsidRPr="280D5D88" w:rsidR="280D5D88">
              <w:rPr>
                <w:rFonts w:ascii="Calibri" w:hAnsi="Calibri" w:eastAsia="Calibri" w:cs="Calibri"/>
                <w:noProof w:val="0"/>
                <w:color w:val="333333"/>
                <w:sz w:val="24"/>
                <w:szCs w:val="24"/>
                <w:lang w:val="en-GB"/>
              </w:rPr>
              <w:t>This policy brief is the third and final publication of a series focusing on policies addressing obesity in the UK.</w:t>
            </w:r>
          </w:p>
        </w:tc>
      </w:tr>
      <w:tr w:rsidR="008A634A" w:rsidTr="280D5D88"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280D5D88" w:rsidRDefault="008A634A" w14:paraId="145C65C5" w14:textId="7F68C04C">
            <w:pPr>
              <w:pStyle w:val="Normal"/>
              <w:rPr>
                <w:rFonts w:asciiTheme="majorHAnsi" w:hAnsiTheme="majorHAnsi"/>
              </w:rPr>
            </w:pPr>
            <w:r w:rsidRPr="280D5D88" w:rsidR="280D5D88">
              <w:rPr>
                <w:rFonts w:ascii="Calibri" w:hAnsi="Calibri" w:eastAsia="Calibri" w:cs="Calibri"/>
                <w:noProof w:val="0"/>
                <w:color w:val="333333"/>
                <w:sz w:val="24"/>
                <w:szCs w:val="24"/>
                <w:lang w:val="en-GB"/>
              </w:rPr>
              <w:t>Ultimately, ‘obesity policy’ is about behaviour, and the ability of policymakers to influence the choices and behaviour of individuals. Although a focus on particular sub-groups has informed such policy, the effect of life course transitions and changes on behaviour in relation to obesity needs to be exploited.</w:t>
            </w:r>
            <w:r>
              <w:br/>
            </w:r>
            <w:r>
              <w:br/>
            </w:r>
            <w:r w:rsidRPr="280D5D88" w:rsidR="280D5D88">
              <w:rPr>
                <w:rFonts w:ascii="Calibri" w:hAnsi="Calibri" w:eastAsia="Calibri" w:cs="Calibri"/>
                <w:noProof w:val="0"/>
                <w:color w:val="333333"/>
                <w:sz w:val="24"/>
                <w:szCs w:val="24"/>
                <w:lang w:val="en-GB"/>
              </w:rPr>
              <w:t xml:space="preserve">This report deploys a life course approach to review factors influencing </w:t>
            </w:r>
            <w:proofErr w:type="spellStart"/>
            <w:r w:rsidRPr="280D5D88" w:rsidR="280D5D88">
              <w:rPr>
                <w:rFonts w:ascii="Calibri" w:hAnsi="Calibri" w:eastAsia="Calibri" w:cs="Calibri"/>
                <w:noProof w:val="0"/>
                <w:color w:val="333333"/>
                <w:sz w:val="24"/>
                <w:szCs w:val="24"/>
                <w:lang w:val="en-GB"/>
              </w:rPr>
              <w:t>behavior</w:t>
            </w:r>
            <w:proofErr w:type="spellEnd"/>
            <w:r w:rsidRPr="280D5D88" w:rsidR="280D5D88">
              <w:rPr>
                <w:rFonts w:ascii="Calibri" w:hAnsi="Calibri" w:eastAsia="Calibri" w:cs="Calibri"/>
                <w:noProof w:val="0"/>
                <w:color w:val="333333"/>
                <w:sz w:val="24"/>
                <w:szCs w:val="24"/>
                <w:lang w:val="en-GB"/>
              </w:rPr>
              <w:t xml:space="preserve"> and choices relating to balanced diets and physical activity. The ‘life course approach’ views the action and behaviour of individuals in the context of the continuum of their lives from birth to death, and transition through various life stages and transition points. These key life stages and transition points can render individuals more susceptible to negative health outcomes. However, they also present opportunities for intervention, for example with healthcare services, educational institutions and employers.</w:t>
            </w:r>
            <w:r>
              <w:br/>
            </w:r>
            <w:r>
              <w:br/>
            </w:r>
            <w:r w:rsidRPr="280D5D88" w:rsidR="280D5D88">
              <w:rPr>
                <w:rFonts w:ascii="Calibri" w:hAnsi="Calibri" w:eastAsia="Calibri" w:cs="Calibri"/>
                <w:noProof w:val="0"/>
                <w:color w:val="333333"/>
                <w:sz w:val="24"/>
                <w:szCs w:val="24"/>
                <w:lang w:val="en-GB"/>
              </w:rPr>
              <w:t xml:space="preserve">This report was made possible by the generous support of </w:t>
            </w:r>
            <w:hyperlink r:id="R55bb11f6546942dd">
              <w:r w:rsidRPr="280D5D88" w:rsidR="280D5D88">
                <w:rPr>
                  <w:rStyle w:val="Hyperlink"/>
                  <w:rFonts w:ascii="Calibri" w:hAnsi="Calibri" w:eastAsia="Calibri" w:cs="Calibri"/>
                  <w:noProof w:val="0"/>
                  <w:color w:val="1D579D"/>
                  <w:sz w:val="24"/>
                  <w:szCs w:val="24"/>
                  <w:lang w:val="en-GB"/>
                </w:rPr>
                <w:t>Pfizer</w:t>
              </w:r>
            </w:hyperlink>
            <w:r w:rsidRPr="280D5D88" w:rsidR="280D5D88">
              <w:rPr>
                <w:rFonts w:ascii="Calibri" w:hAnsi="Calibri" w:eastAsia="Calibri" w:cs="Calibri"/>
                <w:noProof w:val="0"/>
                <w:color w:val="1D579D"/>
                <w:sz w:val="24"/>
                <w:szCs w:val="24"/>
                <w:lang w:val="en-GB"/>
              </w:rPr>
              <w:t>.</w:t>
            </w:r>
            <w:r>
              <w:br/>
            </w:r>
            <w:r>
              <w:br/>
            </w:r>
            <w:r w:rsidRPr="280D5D88" w:rsidR="280D5D88">
              <w:rPr>
                <w:rFonts w:ascii="Calibri" w:hAnsi="Calibri" w:eastAsia="Calibri" w:cs="Calibri"/>
                <w:noProof w:val="0"/>
                <w:color w:val="333333"/>
                <w:sz w:val="24"/>
                <w:szCs w:val="24"/>
                <w:lang w:val="en-GB"/>
              </w:rPr>
              <w:t xml:space="preserve">Author: Primrose </w:t>
            </w:r>
            <w:proofErr w:type="spellStart"/>
            <w:r w:rsidRPr="280D5D88" w:rsidR="280D5D88">
              <w:rPr>
                <w:rFonts w:ascii="Calibri" w:hAnsi="Calibri" w:eastAsia="Calibri" w:cs="Calibri"/>
                <w:noProof w:val="0"/>
                <w:color w:val="333333"/>
                <w:sz w:val="24"/>
                <w:szCs w:val="24"/>
                <w:lang w:val="en-GB"/>
              </w:rPr>
              <w:t>Musingarimi</w:t>
            </w:r>
            <w:proofErr w:type="spellEnd"/>
            <w:r w:rsidRPr="280D5D88" w:rsidR="280D5D88">
              <w:rPr>
                <w:rFonts w:ascii="Calibri" w:hAnsi="Calibri" w:eastAsia="Calibri" w:cs="Calibri"/>
                <w:noProof w:val="0"/>
                <w:color w:val="333333"/>
                <w:sz w:val="24"/>
                <w:szCs w:val="24"/>
                <w:lang w:val="en-GB"/>
              </w:rPr>
              <w:t>, Senior Researcher, ILC-UK</w:t>
            </w:r>
          </w:p>
        </w:tc>
      </w:tr>
      <w:tr w:rsidR="008A634A" w:rsidTr="280D5D88"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280D5D88"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80D5D88"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280D5D88"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280D5D88"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280D5D88"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280D5D88"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280D5D88"/>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pfizer.com/" TargetMode="External" Id="R55bb11f6546942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2018-07-16T11:29:44.3262532Z</dcterms:modified>
</coreProperties>
</file>