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66E12852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66E12852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6E12852" w:rsidRDefault="008A634A" w14:paraId="18F6B4F6" w14:noSpellErr="1" w14:textId="0CBAE58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66E12852" w:rsidR="66E12852">
              <w:rPr>
                <w:rFonts w:ascii="Calibri" w:hAnsi="Calibri" w:eastAsia="Calibri" w:cs="Calibri" w:asciiTheme="majorAscii" w:hAnsiTheme="majorAscii" w:eastAsiaTheme="majorAscii" w:cstheme="majorAscii"/>
              </w:rPr>
              <w:t>26 February 2008</w:t>
            </w:r>
          </w:p>
        </w:tc>
      </w:tr>
      <w:tr w:rsidR="008A634A" w:rsidTr="66E12852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70C3A0CB" w14:textId="3756906B">
            <w:pPr/>
          </w:p>
          <w:p w:rsidRPr="0099243E" w:rsidR="008A634A" w:rsidP="0099243E" w:rsidRDefault="008A634A" w14:paraId="1397F5C8" w14:textId="358EA0DB">
            <w:pPr/>
          </w:p>
          <w:p w:rsidRPr="0099243E" w:rsidR="008A634A" w:rsidP="0099243E" w:rsidRDefault="008A634A" w14:noSpellErr="1" w14:paraId="6F32A7FB" w14:textId="69472E9B">
            <w:pPr/>
            <w:r w:rsidRPr="66E12852" w:rsidR="66E12852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A National Care Fund for Long-term Care</w:t>
            </w:r>
          </w:p>
          <w:p w:rsidRPr="0099243E" w:rsidR="008A634A" w:rsidP="0099243E" w:rsidRDefault="008A634A" w14:paraId="7BB50017" w14:textId="48E6129C">
            <w:pPr/>
          </w:p>
          <w:p w:rsidRPr="0099243E" w:rsidR="008A634A" w:rsidP="66E12852" w:rsidRDefault="008A634A" w14:paraId="647E4217" w14:noSpellErr="1" w14:textId="084BAA5F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66E12852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6E12852" w:rsidRDefault="008A634A" w14:paraId="3988024A" w14:noSpellErr="1" w14:textId="6D1669AC">
            <w:pPr>
              <w:pStyle w:val="Normal"/>
              <w:rPr>
                <w:rFonts w:asciiTheme="majorHAnsi" w:hAnsiTheme="majorHAnsi"/>
              </w:rPr>
            </w:pP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discussion paper puts forward a radical new vision for funding older people’s long-term care - one of the UK's biggest public policy challenges.</w:t>
            </w:r>
          </w:p>
        </w:tc>
      </w:tr>
      <w:tr w:rsidR="008A634A" w:rsidTr="66E12852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66E12852" w:rsidRDefault="008A634A" w14:paraId="145C65C5" w14:noSpellErr="1" w14:textId="5ECF16EA">
            <w:pPr>
              <w:pStyle w:val="Normal"/>
              <w:rPr>
                <w:rFonts w:asciiTheme="majorHAnsi" w:hAnsiTheme="majorHAnsi"/>
              </w:rPr>
            </w:pP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he future funding of long-term care for older people is widely recognised as one of the biggest public policy challenges confronting the UK Government. The cost of long-term care is set to increase in coming decades as a result of demographic change, increasing longevity, as well as the widely acknowledged need to spend more on care to raise quality.</w:t>
            </w:r>
            <w:r>
              <w:br/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Proposals for state-funded universal free care have thus far dominated </w:t>
            </w:r>
            <w:proofErr w:type="gramStart"/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debate, but</w:t>
            </w:r>
            <w:proofErr w:type="gramEnd"/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are becoming increasingly problematic in light of the unprecedented transfers of wealth from younger to older cohorts that have occurred during a period of rising property prices.</w:t>
            </w:r>
            <w:r>
              <w:br/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This report sets out a new approach based around the model of a social insurance fund. The ‘National Care Fund’ proposed would have several key features:</w:t>
            </w:r>
            <w:r>
              <w:br/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 risk-pool limited to older cohorts only.</w:t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Auto-enrolment to achieve high levels of participation.</w:t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Total flexibility for older people in when and how they pay their contribution, including the option to defer until after death in the form of a charge levied on their estate.</w:t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Poorer individuals would have their contribution paid for by the state.</w:t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* A fully-fledged market in complementary long-term care insurance products from the private sector is also proposed.</w:t>
            </w:r>
            <w:r>
              <w:br/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Media coverage of this paper includes:</w:t>
            </w:r>
            <w:r>
              <w:br/>
            </w:r>
            <w:hyperlink r:id="Ra207919233744254">
              <w:r w:rsidRPr="66E12852" w:rsidR="66E12852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4"/>
                  <w:szCs w:val="24"/>
                  <w:lang w:val="en-GB"/>
                </w:rPr>
                <w:t>"Despite the baby boomers ageing, we can afford to care"</w:t>
              </w:r>
            </w:hyperlink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by Polly Toynbee, The Guardian</w:t>
            </w:r>
            <w:r>
              <w:br/>
            </w:r>
            <w:hyperlink r:id="Ra7c7e14c00b84692">
              <w:r w:rsidRPr="66E12852" w:rsidR="66E12852">
                <w:rPr>
                  <w:rStyle w:val="Hyperlink"/>
                  <w:rFonts w:ascii="Calibri" w:hAnsi="Calibri" w:eastAsia="Calibri" w:cs="Calibri"/>
                  <w:noProof w:val="0"/>
                  <w:color w:val="333333"/>
                  <w:sz w:val="24"/>
                  <w:szCs w:val="24"/>
                  <w:lang w:val="en-GB"/>
                </w:rPr>
                <w:t>"Got a few quid for the old rich folk?"</w:t>
              </w:r>
            </w:hyperlink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by Alice Miles, The Times</w:t>
            </w:r>
            <w:r>
              <w:br/>
            </w:r>
            <w:r>
              <w:br/>
            </w:r>
            <w:r w:rsidRPr="66E12852" w:rsidR="66E12852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Author: James Lloyd, Head of Policy &amp; Research, ILC-UK</w:t>
            </w:r>
          </w:p>
        </w:tc>
      </w:tr>
      <w:tr w:rsidR="008A634A" w:rsidTr="66E12852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66E12852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66E12852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66E12852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66E12852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66E12852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66E12852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64450A54"/>
    <w:rsid w:val="66E1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guardian.co.uk/commentisfree/2008/may/13/longtermcare.socialcare" TargetMode="External" Id="Ra207919233744254" /><Relationship Type="http://schemas.openxmlformats.org/officeDocument/2006/relationships/hyperlink" Target="http://www.timesonline.co.uk/tol/comment/columnists/alice_miles/article3926958.ece" TargetMode="External" Id="Ra7c7e14c00b8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2018-07-16T11:35:24.2393035Z</dcterms:modified>
</coreProperties>
</file>