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4A7BD7C6"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4A7BD7C6"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4A7BD7C6" w:rsidRDefault="008A634A" w14:paraId="18F6B4F6" w14:noSpellErr="1" w14:textId="201E7585">
            <w:pPr>
              <w:rPr>
                <w:rFonts w:ascii="Calibri" w:hAnsi="Calibri" w:eastAsia="Calibri" w:cs="Calibri" w:asciiTheme="majorAscii" w:hAnsiTheme="majorAscii" w:eastAsiaTheme="majorAscii" w:cstheme="majorAscii"/>
              </w:rPr>
            </w:pPr>
            <w:r w:rsidRPr="4A7BD7C6" w:rsidR="4A7BD7C6">
              <w:rPr>
                <w:rFonts w:ascii="Calibri" w:hAnsi="Calibri" w:eastAsia="Calibri" w:cs="Calibri" w:asciiTheme="majorAscii" w:hAnsiTheme="majorAscii" w:eastAsiaTheme="majorAscii" w:cstheme="majorAscii"/>
              </w:rPr>
              <w:t>1 December 2009</w:t>
            </w:r>
          </w:p>
        </w:tc>
      </w:tr>
      <w:tr w:rsidR="008A634A" w:rsidTr="4A7BD7C6"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4A7BD7C6" w:rsidRDefault="008A634A" w14:paraId="647E4217" w14:noSpellErr="1" w14:textId="28BBB086">
            <w:pPr>
              <w:pStyle w:val="Normal"/>
              <w:rPr>
                <w:rFonts w:asciiTheme="majorHAnsi" w:hAnsiTheme="majorHAnsi"/>
              </w:rPr>
            </w:pPr>
            <w:r w:rsidRPr="4A7BD7C6" w:rsidR="4A7BD7C6">
              <w:rPr>
                <w:rFonts w:ascii="Calibri" w:hAnsi="Calibri" w:eastAsia="Calibri" w:cs="Calibri"/>
                <w:b w:val="1"/>
                <w:bCs w:val="1"/>
                <w:noProof w:val="0"/>
                <w:color w:val="333333"/>
                <w:sz w:val="21"/>
                <w:szCs w:val="21"/>
                <w:lang w:val="en-GB"/>
              </w:rPr>
              <w:t>Age proofing goods and services: How might the Equality Bill impact on businesses?</w:t>
            </w:r>
          </w:p>
        </w:tc>
      </w:tr>
      <w:tr w:rsidR="008A634A" w:rsidTr="4A7BD7C6"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4A7BD7C6" w:rsidRDefault="008A634A" w14:paraId="3988024A" w14:noSpellErr="1" w14:textId="7D73352F">
            <w:pPr>
              <w:pStyle w:val="Normal"/>
              <w:rPr>
                <w:rFonts w:asciiTheme="majorHAnsi" w:hAnsiTheme="majorHAnsi"/>
              </w:rPr>
            </w:pPr>
            <w:r w:rsidRPr="4A7BD7C6" w:rsidR="4A7BD7C6">
              <w:rPr>
                <w:rFonts w:ascii="Calibri" w:hAnsi="Calibri" w:eastAsia="Calibri" w:cs="Calibri"/>
                <w:noProof w:val="0"/>
                <w:color w:val="333333"/>
                <w:sz w:val="24"/>
                <w:szCs w:val="24"/>
                <w:lang w:val="en-GB"/>
              </w:rPr>
              <w:t>The speech of Michael Foster MP, Parliamentary Secretary to the Government Equalities Office, at the ILC-UK Partners Breakfast on 1st December 2009.</w:t>
            </w:r>
          </w:p>
        </w:tc>
      </w:tr>
      <w:tr w:rsidR="008A634A" w:rsidTr="4A7BD7C6"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4A7BD7C6" w:rsidRDefault="008A634A" w14:paraId="145C65C5" w14:noSpellErr="1" w14:textId="4B20168C">
            <w:pPr>
              <w:pStyle w:val="Normal"/>
              <w:rPr>
                <w:rFonts w:asciiTheme="majorHAnsi" w:hAnsiTheme="majorHAnsi"/>
              </w:rPr>
            </w:pPr>
            <w:r w:rsidRPr="4A7BD7C6" w:rsidR="4A7BD7C6">
              <w:rPr>
                <w:rFonts w:ascii="Calibri" w:hAnsi="Calibri" w:eastAsia="Calibri" w:cs="Calibri"/>
                <w:noProof w:val="0"/>
                <w:color w:val="333333"/>
                <w:sz w:val="24"/>
                <w:szCs w:val="24"/>
                <w:lang w:val="en-GB"/>
              </w:rPr>
              <w:t>This is a report of a speech by Michael Foster MP, Parliamentary Secretary to the Government Equalities Office which sets out the Government's position on how the Equality Bill will impact business. Mr Foster gave the presentation at the ILC-UK Partners Breakfast on 1st December 2009.</w:t>
            </w:r>
          </w:p>
        </w:tc>
      </w:tr>
      <w:tr w:rsidR="008A634A" w:rsidTr="4A7BD7C6"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4A7BD7C6"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4A7BD7C6"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4A7BD7C6"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4A7BD7C6"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4A7BD7C6"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4A7BD7C6"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4A7BD7C6"/>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2018-07-16T10:22:06.8751276Z</dcterms:modified>
</coreProperties>
</file>