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367625B"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2367625B"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367625B" w:rsidRDefault="008A634A" w14:paraId="18F6B4F6" w14:noSpellErr="1" w14:textId="3CA0A09E">
            <w:pPr>
              <w:rPr>
                <w:rFonts w:ascii="Calibri" w:hAnsi="Calibri" w:eastAsia="Calibri" w:cs="Calibri" w:asciiTheme="majorAscii" w:hAnsiTheme="majorAscii" w:eastAsiaTheme="majorAscii" w:cstheme="majorAscii"/>
              </w:rPr>
            </w:pPr>
            <w:r w:rsidRPr="2367625B" w:rsidR="2367625B">
              <w:rPr>
                <w:rFonts w:ascii="Calibri" w:hAnsi="Calibri" w:eastAsia="Calibri" w:cs="Calibri" w:asciiTheme="majorAscii" w:hAnsiTheme="majorAscii" w:eastAsiaTheme="majorAscii" w:cstheme="majorAscii"/>
              </w:rPr>
              <w:t>19 November 2007</w:t>
            </w:r>
          </w:p>
        </w:tc>
      </w:tr>
      <w:tr w:rsidR="008A634A" w:rsidTr="2367625B"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367625B" w:rsidRDefault="008A634A" w14:paraId="647E4217" w14:noSpellErr="1" w14:textId="33932379">
            <w:pPr>
              <w:pStyle w:val="Normal"/>
              <w:rPr>
                <w:rFonts w:asciiTheme="majorHAnsi" w:hAnsiTheme="majorHAnsi"/>
              </w:rPr>
            </w:pPr>
            <w:r w:rsidRPr="2367625B" w:rsidR="2367625B">
              <w:rPr>
                <w:rFonts w:ascii="Calibri" w:hAnsi="Calibri" w:eastAsia="Calibri" w:cs="Calibri"/>
                <w:b w:val="1"/>
                <w:bCs w:val="1"/>
                <w:noProof w:val="0"/>
                <w:color w:val="333333"/>
                <w:sz w:val="21"/>
                <w:szCs w:val="21"/>
                <w:lang w:val="en-GB"/>
              </w:rPr>
              <w:t xml:space="preserve">Towards Lifetime Neighbourhoods: Designing Sustainable Communities </w:t>
            </w:r>
            <w:proofErr w:type="gramStart"/>
            <w:r w:rsidRPr="2367625B" w:rsidR="2367625B">
              <w:rPr>
                <w:rFonts w:ascii="Calibri" w:hAnsi="Calibri" w:eastAsia="Calibri" w:cs="Calibri"/>
                <w:b w:val="1"/>
                <w:bCs w:val="1"/>
                <w:noProof w:val="0"/>
                <w:color w:val="333333"/>
                <w:sz w:val="21"/>
                <w:szCs w:val="21"/>
                <w:lang w:val="en-GB"/>
              </w:rPr>
              <w:t>For</w:t>
            </w:r>
            <w:proofErr w:type="gramEnd"/>
            <w:r w:rsidRPr="2367625B" w:rsidR="2367625B">
              <w:rPr>
                <w:rFonts w:ascii="Calibri" w:hAnsi="Calibri" w:eastAsia="Calibri" w:cs="Calibri"/>
                <w:b w:val="1"/>
                <w:bCs w:val="1"/>
                <w:noProof w:val="0"/>
                <w:color w:val="333333"/>
                <w:sz w:val="21"/>
                <w:szCs w:val="21"/>
                <w:lang w:val="en-GB"/>
              </w:rPr>
              <w:t xml:space="preserve"> All</w:t>
            </w:r>
          </w:p>
        </w:tc>
      </w:tr>
      <w:tr w:rsidR="008A634A" w:rsidTr="2367625B"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367625B" w:rsidRDefault="008A634A" w14:paraId="3988024A" w14:noSpellErr="1" w14:textId="10C32B19">
            <w:pPr>
              <w:pStyle w:val="Normal"/>
              <w:rPr>
                <w:rFonts w:asciiTheme="majorHAnsi" w:hAnsiTheme="majorHAnsi"/>
              </w:rPr>
            </w:pPr>
            <w:r w:rsidRPr="2367625B" w:rsidR="2367625B">
              <w:rPr>
                <w:rFonts w:ascii="Calibri" w:hAnsi="Calibri" w:eastAsia="Calibri" w:cs="Calibri"/>
                <w:noProof w:val="0"/>
                <w:color w:val="333333"/>
                <w:sz w:val="24"/>
                <w:szCs w:val="24"/>
                <w:lang w:val="en-GB"/>
              </w:rPr>
              <w:t>A discussion paper published in partnership with Communities and Local Government</w:t>
            </w:r>
          </w:p>
        </w:tc>
      </w:tr>
      <w:tr w:rsidR="008A634A" w:rsidTr="2367625B"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2367625B" w:rsidRDefault="008A634A" w14:paraId="145C65C5" w14:noSpellErr="1" w14:textId="371538BA">
            <w:pPr>
              <w:pStyle w:val="Normal"/>
              <w:rPr>
                <w:rFonts w:ascii="Calibri" w:hAnsi="Calibri" w:eastAsia="Calibri" w:cs="Calibri"/>
                <w:noProof w:val="0"/>
                <w:color w:val="1D579D"/>
                <w:sz w:val="24"/>
                <w:szCs w:val="24"/>
                <w:lang w:val="en-GB"/>
              </w:rPr>
            </w:pPr>
            <w:r w:rsidRPr="2367625B" w:rsidR="2367625B">
              <w:rPr>
                <w:rFonts w:ascii="Calibri" w:hAnsi="Calibri" w:eastAsia="Calibri" w:cs="Calibri"/>
                <w:noProof w:val="0"/>
                <w:color w:val="333333"/>
                <w:sz w:val="24"/>
                <w:szCs w:val="24"/>
                <w:lang w:val="en-GB"/>
              </w:rPr>
              <w:t>This discussion paper explores how a more age-friendly vision of public spaces and community could boost social engagement, good health and the chances of 'active ageing' for all.</w:t>
            </w:r>
            <w:r>
              <w:br/>
            </w:r>
            <w:r>
              <w:br/>
            </w:r>
            <w:r w:rsidRPr="2367625B" w:rsidR="2367625B">
              <w:rPr>
                <w:rFonts w:ascii="Calibri" w:hAnsi="Calibri" w:eastAsia="Calibri" w:cs="Calibri"/>
                <w:noProof w:val="0"/>
                <w:color w:val="333333"/>
                <w:sz w:val="24"/>
                <w:szCs w:val="24"/>
                <w:lang w:val="en-GB"/>
              </w:rPr>
              <w:t>The report explores how the built environment could offer a more accessible, inclusive space for the frail or disabled, but looks further into what role services, amenities, social cohesion and sense of place play in the creation of 'lifetime neighbourhoods', and how they might interact to create communities that maximise health, wellbeing and social engagement.</w:t>
            </w:r>
            <w:r>
              <w:br/>
            </w:r>
            <w:r>
              <w:br/>
            </w:r>
            <w:r w:rsidRPr="2367625B" w:rsidR="2367625B">
              <w:rPr>
                <w:rFonts w:ascii="Calibri" w:hAnsi="Calibri" w:eastAsia="Calibri" w:cs="Calibri"/>
                <w:noProof w:val="0"/>
                <w:color w:val="333333"/>
                <w:sz w:val="24"/>
                <w:szCs w:val="24"/>
                <w:lang w:val="en-GB"/>
              </w:rPr>
              <w:t xml:space="preserve">This paper has been published in partnership with the </w:t>
            </w:r>
            <w:hyperlink r:id="Rf791383c59a7436d">
              <w:r w:rsidRPr="2367625B" w:rsidR="2367625B">
                <w:rPr>
                  <w:rStyle w:val="Hyperlink"/>
                  <w:rFonts w:ascii="Calibri" w:hAnsi="Calibri" w:eastAsia="Calibri" w:cs="Calibri"/>
                  <w:noProof w:val="0"/>
                  <w:color w:val="1D579D"/>
                  <w:sz w:val="24"/>
                  <w:szCs w:val="24"/>
                  <w:lang w:val="en-GB"/>
                </w:rPr>
                <w:t>Department of Communities and Local Government</w:t>
              </w:r>
            </w:hyperlink>
            <w:r w:rsidRPr="2367625B" w:rsidR="2367625B">
              <w:rPr>
                <w:rFonts w:ascii="Calibri" w:hAnsi="Calibri" w:eastAsia="Calibri" w:cs="Calibri"/>
                <w:noProof w:val="0"/>
                <w:color w:val="1D579D"/>
                <w:sz w:val="24"/>
                <w:szCs w:val="24"/>
                <w:lang w:val="en-GB"/>
              </w:rPr>
              <w:t xml:space="preserve">, the Government department responsible for local government, housing, urban regeneration, planning and fire and rescue. </w:t>
            </w:r>
            <w:hyperlink r:id="R1ce98344c5074b8a">
              <w:r w:rsidRPr="2367625B" w:rsidR="2367625B">
                <w:rPr>
                  <w:rStyle w:val="Hyperlink"/>
                  <w:rFonts w:ascii="Calibri" w:hAnsi="Calibri" w:eastAsia="Calibri" w:cs="Calibri"/>
                  <w:noProof w:val="0"/>
                  <w:color w:val="1D579D"/>
                  <w:sz w:val="24"/>
                  <w:szCs w:val="24"/>
                  <w:lang w:val="en-GB"/>
                </w:rPr>
                <w:t>For details about obtaining this report in other formats, including printed copies, please follow this link</w:t>
              </w:r>
            </w:hyperlink>
            <w:r w:rsidRPr="2367625B" w:rsidR="2367625B">
              <w:rPr>
                <w:rFonts w:ascii="Calibri" w:hAnsi="Calibri" w:eastAsia="Calibri" w:cs="Calibri"/>
                <w:noProof w:val="0"/>
                <w:color w:val="1D579D"/>
                <w:sz w:val="24"/>
                <w:szCs w:val="24"/>
                <w:lang w:val="en-GB"/>
              </w:rPr>
              <w:t>.</w:t>
            </w:r>
            <w:r>
              <w:br/>
            </w:r>
          </w:p>
        </w:tc>
      </w:tr>
      <w:tr w:rsidR="008A634A" w:rsidTr="2367625B"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2367625B"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367625B"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2367625B"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2367625B"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2367625B"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2367625B"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2367625B"/>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communities.gov.uk/" TargetMode="External" Id="Rf791383c59a7436d" /><Relationship Type="http://schemas.openxmlformats.org/officeDocument/2006/relationships/hyperlink" Target="http://www.communities.gov.uk/publications/communities/lifetimeneighbourhoods" TargetMode="External" Id="R1ce98344c5074b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2018-07-16T13:16:47.3623828Z</dcterms:modified>
</coreProperties>
</file>