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43C79B36" w14:paraId="05720419" w14:textId="696F9B76">
        <w:tc>
          <w:tcPr>
            <w:tcW w:w="1644" w:type="dxa"/>
            <w:tcMar/>
          </w:tcPr>
          <w:p w:rsidRPr="008066C6" w:rsidR="008A634A" w:rsidP="43C79B36" w:rsidRDefault="008A634A" w14:paraId="2C0462EB" w14:noSpellErr="1" w14:textId="5CC43CBF">
            <w:pPr>
              <w:rPr>
                <w:rFonts w:ascii="Calibri" w:hAnsi="Calibri" w:eastAsia="Calibri" w:cs="Calibri" w:asciiTheme="majorAscii" w:hAnsiTheme="majorAscii" w:eastAsiaTheme="majorAscii" w:cstheme="majorAscii"/>
                <w:i w:val="1"/>
                <w:iCs w:val="1"/>
              </w:rPr>
            </w:pPr>
            <w:r w:rsidRPr="43C79B36" w:rsidR="43C79B36">
              <w:rPr>
                <w:rFonts w:ascii="Calibri" w:hAnsi="Calibri" w:eastAsia="Calibri" w:cs="Calibri" w:asciiTheme="majorAscii" w:hAnsiTheme="majorAscii" w:eastAsiaTheme="majorAscii" w:cstheme="majorAscii"/>
                <w:i w:val="1"/>
                <w:iCs w:val="1"/>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43C79B36"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43C79B36" w:rsidRDefault="008A634A" w14:paraId="18F6B4F6" w14:noSpellErr="1" w14:textId="7983D08F">
            <w:pPr>
              <w:rPr>
                <w:rFonts w:ascii="Calibri" w:hAnsi="Calibri" w:eastAsia="Calibri" w:cs="Calibri" w:asciiTheme="majorAscii" w:hAnsiTheme="majorAscii" w:eastAsiaTheme="majorAscii" w:cstheme="majorAscii"/>
              </w:rPr>
            </w:pPr>
            <w:r w:rsidRPr="43C79B36" w:rsidR="43C79B36">
              <w:rPr>
                <w:rFonts w:ascii="Calibri" w:hAnsi="Calibri" w:eastAsia="Calibri" w:cs="Calibri" w:asciiTheme="majorAscii" w:hAnsiTheme="majorAscii" w:eastAsiaTheme="majorAscii" w:cstheme="majorAscii"/>
              </w:rPr>
              <w:t>15 April 2008</w:t>
            </w:r>
          </w:p>
        </w:tc>
      </w:tr>
      <w:tr w:rsidR="008A634A" w:rsidTr="43C79B36"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08D0013E" w14:textId="18388FD5">
            <w:pPr/>
          </w:p>
          <w:p w:rsidRPr="0099243E" w:rsidR="008A634A" w:rsidP="0099243E" w:rsidRDefault="008A634A" w14:paraId="1D4C84F2" w14:textId="10796829">
            <w:pPr/>
          </w:p>
          <w:p w:rsidRPr="0099243E" w:rsidR="008A634A" w:rsidP="0099243E" w:rsidRDefault="008A634A" w14:noSpellErr="1" w14:paraId="63A8FAAD" w14:textId="1E10E1C7">
            <w:pPr/>
            <w:r w:rsidRPr="43C79B36" w:rsidR="43C79B36">
              <w:rPr>
                <w:rFonts w:ascii="Calibri" w:hAnsi="Calibri" w:eastAsia="Calibri" w:cs="Calibri"/>
                <w:b w:val="1"/>
                <w:bCs w:val="1"/>
                <w:noProof w:val="0"/>
                <w:color w:val="333333"/>
                <w:sz w:val="21"/>
                <w:szCs w:val="21"/>
                <w:lang w:val="en-GB"/>
              </w:rPr>
              <w:t>Obesity and Public Health Policy: Lessons from Tobacco Control</w:t>
            </w:r>
          </w:p>
          <w:p w:rsidRPr="0099243E" w:rsidR="008A634A" w:rsidP="0099243E" w:rsidRDefault="008A634A" w14:paraId="595C0A6F" w14:textId="5B60D02A">
            <w:pPr/>
          </w:p>
          <w:p w:rsidRPr="0099243E" w:rsidR="008A634A" w:rsidP="43C79B36" w:rsidRDefault="008A634A" w14:paraId="647E4217" w14:noSpellErr="1" w14:textId="4668CC55">
            <w:pPr>
              <w:pStyle w:val="Normal"/>
              <w:rPr>
                <w:rFonts w:ascii="Calibri" w:hAnsi="Calibri" w:eastAsia="Calibri" w:cs="Calibri" w:asciiTheme="majorAscii" w:hAnsiTheme="majorAscii" w:eastAsiaTheme="majorAscii" w:cstheme="majorAscii"/>
              </w:rPr>
            </w:pPr>
          </w:p>
        </w:tc>
      </w:tr>
      <w:tr w:rsidR="008A634A" w:rsidTr="43C79B36"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43C79B36" w:rsidRDefault="008A634A" w14:paraId="3988024A" w14:noSpellErr="1" w14:textId="518221F6">
            <w:pPr>
              <w:pStyle w:val="Normal"/>
              <w:rPr>
                <w:rFonts w:asciiTheme="majorHAnsi" w:hAnsiTheme="majorHAnsi"/>
              </w:rPr>
            </w:pPr>
            <w:r w:rsidRPr="43C79B36" w:rsidR="43C79B36">
              <w:rPr>
                <w:rFonts w:ascii="Calibri" w:hAnsi="Calibri" w:eastAsia="Calibri" w:cs="Calibri"/>
                <w:noProof w:val="0"/>
                <w:color w:val="333333"/>
                <w:sz w:val="24"/>
                <w:szCs w:val="24"/>
                <w:lang w:val="en-GB"/>
              </w:rPr>
              <w:t xml:space="preserve">Two of the most challenging public </w:t>
            </w:r>
            <w:proofErr w:type="gramStart"/>
            <w:r w:rsidRPr="43C79B36" w:rsidR="43C79B36">
              <w:rPr>
                <w:rFonts w:ascii="Calibri" w:hAnsi="Calibri" w:eastAsia="Calibri" w:cs="Calibri"/>
                <w:noProof w:val="0"/>
                <w:color w:val="333333"/>
                <w:sz w:val="24"/>
                <w:szCs w:val="24"/>
                <w:lang w:val="en-GB"/>
              </w:rPr>
              <w:t>heath</w:t>
            </w:r>
            <w:proofErr w:type="gramEnd"/>
            <w:r w:rsidRPr="43C79B36" w:rsidR="43C79B36">
              <w:rPr>
                <w:rFonts w:ascii="Calibri" w:hAnsi="Calibri" w:eastAsia="Calibri" w:cs="Calibri"/>
                <w:noProof w:val="0"/>
                <w:color w:val="333333"/>
                <w:sz w:val="24"/>
                <w:szCs w:val="24"/>
                <w:lang w:val="en-GB"/>
              </w:rPr>
              <w:t xml:space="preserve"> problems that account for significant morbidity and mortality are smoking and obesity. Over the last 20 years, while smoking prevalence rates have declined, obesity rates have increased sharply.</w:t>
            </w:r>
          </w:p>
        </w:tc>
      </w:tr>
      <w:tr w:rsidR="008A634A" w:rsidTr="43C79B36"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43C79B36" w:rsidRDefault="008A634A" w14:paraId="145C65C5" w14:textId="178B28BA">
            <w:pPr>
              <w:pStyle w:val="Normal"/>
              <w:rPr>
                <w:rFonts w:asciiTheme="majorHAnsi" w:hAnsiTheme="majorHAnsi"/>
              </w:rPr>
            </w:pPr>
            <w:r w:rsidRPr="43C79B36" w:rsidR="43C79B36">
              <w:rPr>
                <w:rFonts w:ascii="Calibri" w:hAnsi="Calibri" w:eastAsia="Calibri" w:cs="Calibri"/>
                <w:noProof w:val="0"/>
                <w:color w:val="333333"/>
                <w:sz w:val="24"/>
                <w:szCs w:val="24"/>
                <w:lang w:val="en-GB"/>
              </w:rPr>
              <w:t>Obesity is high on the policy agenda in the UK as evidenced by the recent publication of the obesity strategy in England. It is widely acknowledged that bringing down rates of obesity will be a major challenge for public health and policymakers in coming decades.</w:t>
            </w:r>
            <w:r>
              <w:br/>
            </w:r>
            <w:r>
              <w:br/>
            </w:r>
            <w:r w:rsidRPr="43C79B36" w:rsidR="43C79B36">
              <w:rPr>
                <w:rFonts w:ascii="Calibri" w:hAnsi="Calibri" w:eastAsia="Calibri" w:cs="Calibri"/>
                <w:noProof w:val="0"/>
                <w:color w:val="333333"/>
                <w:sz w:val="24"/>
                <w:szCs w:val="24"/>
                <w:lang w:val="en-GB"/>
              </w:rPr>
              <w:t>The successes achieved with tobacco control offer valuable lessons for how this challenge may be addressed. This report reviews those strategies that have been effective against tobacco use and explores the scope for applying them to combat obesity.</w:t>
            </w:r>
            <w:r>
              <w:br/>
            </w:r>
            <w:r>
              <w:br/>
            </w:r>
            <w:r w:rsidRPr="43C79B36" w:rsidR="43C79B36">
              <w:rPr>
                <w:rFonts w:ascii="Calibri" w:hAnsi="Calibri" w:eastAsia="Calibri" w:cs="Calibri"/>
                <w:noProof w:val="0"/>
                <w:color w:val="333333"/>
                <w:sz w:val="24"/>
                <w:szCs w:val="24"/>
                <w:lang w:val="en-GB"/>
              </w:rPr>
              <w:t>These measures include:</w:t>
            </w:r>
            <w:r>
              <w:br/>
            </w:r>
            <w:r>
              <w:br/>
            </w:r>
            <w:r w:rsidRPr="43C79B36" w:rsidR="43C79B36">
              <w:rPr>
                <w:rFonts w:ascii="Calibri" w:hAnsi="Calibri" w:eastAsia="Calibri" w:cs="Calibri"/>
                <w:noProof w:val="0"/>
                <w:color w:val="333333"/>
                <w:sz w:val="24"/>
                <w:szCs w:val="24"/>
                <w:lang w:val="en-GB"/>
              </w:rPr>
              <w:t>* Information and Communication Strategies,</w:t>
            </w:r>
            <w:r>
              <w:br/>
            </w:r>
            <w:r w:rsidRPr="43C79B36" w:rsidR="43C79B36">
              <w:rPr>
                <w:rFonts w:ascii="Calibri" w:hAnsi="Calibri" w:eastAsia="Calibri" w:cs="Calibri"/>
                <w:noProof w:val="0"/>
                <w:color w:val="333333"/>
                <w:sz w:val="24"/>
                <w:szCs w:val="24"/>
                <w:lang w:val="en-GB"/>
              </w:rPr>
              <w:t>* Community-based Programs,</w:t>
            </w:r>
            <w:r>
              <w:br/>
            </w:r>
            <w:r w:rsidRPr="43C79B36" w:rsidR="43C79B36">
              <w:rPr>
                <w:rFonts w:ascii="Calibri" w:hAnsi="Calibri" w:eastAsia="Calibri" w:cs="Calibri"/>
                <w:noProof w:val="0"/>
                <w:color w:val="333333"/>
                <w:sz w:val="24"/>
                <w:szCs w:val="24"/>
                <w:lang w:val="en-GB"/>
              </w:rPr>
              <w:t>* Regulatory and Legislative Measures</w:t>
            </w:r>
            <w:r>
              <w:br/>
            </w:r>
            <w:r w:rsidRPr="43C79B36" w:rsidR="43C79B36">
              <w:rPr>
                <w:rFonts w:ascii="Calibri" w:hAnsi="Calibri" w:eastAsia="Calibri" w:cs="Calibri"/>
                <w:noProof w:val="0"/>
                <w:color w:val="333333"/>
                <w:sz w:val="24"/>
                <w:szCs w:val="24"/>
                <w:lang w:val="en-GB"/>
              </w:rPr>
              <w:t>* Economic Approaches</w:t>
            </w:r>
            <w:r>
              <w:br/>
            </w:r>
            <w:r w:rsidRPr="43C79B36" w:rsidR="43C79B36">
              <w:rPr>
                <w:rFonts w:ascii="Calibri" w:hAnsi="Calibri" w:eastAsia="Calibri" w:cs="Calibri"/>
                <w:noProof w:val="0"/>
                <w:color w:val="333333"/>
                <w:sz w:val="24"/>
                <w:szCs w:val="24"/>
                <w:lang w:val="en-GB"/>
              </w:rPr>
              <w:t>* Medical Interventions and Management</w:t>
            </w:r>
            <w:r>
              <w:br/>
            </w:r>
            <w:r>
              <w:br/>
            </w:r>
            <w:r w:rsidRPr="43C79B36" w:rsidR="43C79B36">
              <w:rPr>
                <w:rFonts w:ascii="Calibri" w:hAnsi="Calibri" w:eastAsia="Calibri" w:cs="Calibri"/>
                <w:noProof w:val="0"/>
                <w:color w:val="333333"/>
                <w:sz w:val="24"/>
                <w:szCs w:val="24"/>
                <w:lang w:val="en-GB"/>
              </w:rPr>
              <w:t xml:space="preserve">This report was made possible by the generous support of </w:t>
            </w:r>
            <w:hyperlink r:id="R6317733a9ba14e19">
              <w:r w:rsidRPr="43C79B36" w:rsidR="43C79B36">
                <w:rPr>
                  <w:rStyle w:val="Hyperlink"/>
                  <w:rFonts w:ascii="Calibri" w:hAnsi="Calibri" w:eastAsia="Calibri" w:cs="Calibri"/>
                  <w:noProof w:val="0"/>
                  <w:color w:val="1D579D"/>
                  <w:sz w:val="24"/>
                  <w:szCs w:val="24"/>
                  <w:lang w:val="en-GB"/>
                </w:rPr>
                <w:t>Pfizer</w:t>
              </w:r>
            </w:hyperlink>
            <w:r w:rsidRPr="43C79B36" w:rsidR="43C79B36">
              <w:rPr>
                <w:rFonts w:ascii="Calibri" w:hAnsi="Calibri" w:eastAsia="Calibri" w:cs="Calibri"/>
                <w:noProof w:val="0"/>
                <w:color w:val="1D579D"/>
                <w:sz w:val="24"/>
                <w:szCs w:val="24"/>
                <w:lang w:val="en-GB"/>
              </w:rPr>
              <w:t>.</w:t>
            </w:r>
            <w:r>
              <w:br/>
            </w:r>
            <w:r>
              <w:br/>
            </w:r>
            <w:r w:rsidRPr="43C79B36" w:rsidR="43C79B36">
              <w:rPr>
                <w:rFonts w:ascii="Calibri" w:hAnsi="Calibri" w:eastAsia="Calibri" w:cs="Calibri"/>
                <w:noProof w:val="0"/>
                <w:color w:val="333333"/>
                <w:sz w:val="24"/>
                <w:szCs w:val="24"/>
                <w:lang w:val="en-GB"/>
              </w:rPr>
              <w:t xml:space="preserve">Author: Primrose </w:t>
            </w:r>
            <w:proofErr w:type="spellStart"/>
            <w:r w:rsidRPr="43C79B36" w:rsidR="43C79B36">
              <w:rPr>
                <w:rFonts w:ascii="Calibri" w:hAnsi="Calibri" w:eastAsia="Calibri" w:cs="Calibri"/>
                <w:noProof w:val="0"/>
                <w:color w:val="333333"/>
                <w:sz w:val="24"/>
                <w:szCs w:val="24"/>
                <w:lang w:val="en-GB"/>
              </w:rPr>
              <w:t>Musingarimi</w:t>
            </w:r>
            <w:proofErr w:type="spellEnd"/>
            <w:r w:rsidRPr="43C79B36" w:rsidR="43C79B36">
              <w:rPr>
                <w:rFonts w:ascii="Calibri" w:hAnsi="Calibri" w:eastAsia="Calibri" w:cs="Calibri"/>
                <w:noProof w:val="0"/>
                <w:color w:val="333333"/>
                <w:sz w:val="24"/>
                <w:szCs w:val="24"/>
                <w:lang w:val="en-GB"/>
              </w:rPr>
              <w:t>, Senior Researcher, ILC-UK</w:t>
            </w:r>
          </w:p>
        </w:tc>
      </w:tr>
      <w:tr w:rsidR="008A634A" w:rsidTr="43C79B36"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43C79B36"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43C79B36"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43C79B36"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43C79B36"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43C79B36"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43C79B36"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43C79B36"/>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pfizer.com/" TargetMode="External" Id="R6317733a9ba14e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2018-07-16T11:15:54.3218269Z</dcterms:modified>
</coreProperties>
</file>