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AFA2071"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0AFA2071"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AFA2071" w:rsidRDefault="008A634A" w14:paraId="18F6B4F6" w14:noSpellErr="1" w14:textId="4E57BE48">
            <w:pPr>
              <w:rPr>
                <w:rFonts w:ascii="Calibri" w:hAnsi="Calibri" w:eastAsia="Calibri" w:cs="Calibri" w:asciiTheme="majorAscii" w:hAnsiTheme="majorAscii" w:eastAsiaTheme="majorAscii" w:cstheme="majorAscii"/>
              </w:rPr>
            </w:pPr>
            <w:r w:rsidRPr="0AFA2071" w:rsidR="0AFA2071">
              <w:rPr>
                <w:rFonts w:ascii="Calibri" w:hAnsi="Calibri" w:eastAsia="Calibri" w:cs="Calibri" w:asciiTheme="majorAscii" w:hAnsiTheme="majorAscii" w:eastAsiaTheme="majorAscii" w:cstheme="majorAscii"/>
              </w:rPr>
              <w:t>11 October 2010</w:t>
            </w:r>
          </w:p>
        </w:tc>
      </w:tr>
      <w:tr w:rsidR="008A634A" w:rsidTr="0AFA2071"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AFA2071" w:rsidRDefault="008A634A" w14:paraId="647E4217" w14:noSpellErr="1" w14:textId="6361BD25">
            <w:pPr>
              <w:pStyle w:val="Normal"/>
              <w:rPr>
                <w:rFonts w:asciiTheme="majorHAnsi" w:hAnsiTheme="majorHAnsi"/>
              </w:rPr>
            </w:pPr>
            <w:r w:rsidRPr="0AFA2071" w:rsidR="0AFA2071">
              <w:rPr>
                <w:rFonts w:ascii="Calibri" w:hAnsi="Calibri" w:eastAsia="Calibri" w:cs="Calibri"/>
                <w:b w:val="1"/>
                <w:bCs w:val="1"/>
                <w:noProof w:val="0"/>
                <w:color w:val="333333"/>
                <w:sz w:val="21"/>
                <w:szCs w:val="21"/>
                <w:lang w:val="en-GB"/>
              </w:rPr>
              <w:t>Osteoporosis in the UK at Breaking Point</w:t>
            </w:r>
          </w:p>
        </w:tc>
      </w:tr>
      <w:tr w:rsidR="008A634A" w:rsidTr="0AFA2071"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AFA2071" w:rsidRDefault="008A634A" w14:paraId="3988024A" w14:noSpellErr="1" w14:textId="53947CC7">
            <w:pPr>
              <w:pStyle w:val="Normal"/>
              <w:rPr>
                <w:rFonts w:asciiTheme="majorHAnsi" w:hAnsiTheme="majorHAnsi"/>
              </w:rPr>
            </w:pPr>
            <w:r w:rsidRPr="0AFA2071" w:rsidR="0AFA2071">
              <w:rPr>
                <w:rFonts w:ascii="Calibri" w:hAnsi="Calibri" w:eastAsia="Calibri" w:cs="Calibri"/>
                <w:noProof w:val="0"/>
                <w:color w:val="333333"/>
                <w:sz w:val="24"/>
                <w:szCs w:val="24"/>
                <w:lang w:val="en-GB"/>
              </w:rPr>
              <w:t>A new report highlighting the urgent need to improve patient outcomes and care for the 2 million women affected by osteoporosis.</w:t>
            </w:r>
          </w:p>
        </w:tc>
      </w:tr>
      <w:tr w:rsidR="008A634A" w:rsidTr="0AFA2071"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74E96E6A" w14:textId="6A6039AB">
            <w:pPr/>
            <w:r w:rsidRPr="0AFA2071" w:rsidR="0AFA2071">
              <w:rPr>
                <w:rFonts w:ascii="Calibri" w:hAnsi="Calibri" w:eastAsia="Calibri" w:cs="Calibri"/>
                <w:noProof w:val="0"/>
                <w:color w:val="333333"/>
                <w:sz w:val="24"/>
                <w:szCs w:val="24"/>
                <w:lang w:val="en-GB"/>
              </w:rPr>
              <w:t>This report demonstrates the true effect that osteoporosis has on women and its escalating impact on NHS resources and was developed by an editorial board of GPs, specialist clinicians, nurses, commissioners, professional and patient groups and the ILC-UK, with support from Amgen and GlaxoSmithKline.</w:t>
            </w:r>
            <w:r>
              <w:br/>
            </w:r>
            <w:r>
              <w:br/>
            </w:r>
            <w:r w:rsidRPr="0AFA2071" w:rsidR="0AFA2071">
              <w:rPr>
                <w:rFonts w:ascii="Calibri" w:hAnsi="Calibri" w:eastAsia="Calibri" w:cs="Calibri"/>
                <w:noProof w:val="0"/>
                <w:color w:val="333333"/>
                <w:sz w:val="24"/>
                <w:szCs w:val="24"/>
                <w:lang w:val="en-GB"/>
              </w:rPr>
              <w:t>New evidence in the report reveals that the number, rate and cost of fractures in the UK amongst women aged 55 years and over is rising, as is the number of unplanned hospital stays, which has risen by 13% in the last five years. As the population ages and the number of women with osteoporosis increases, the economic burden associated with this disease looks set to rise – at present the cost of osteoporotic hip fractures to the NHS is estimated to be £2 billion per year.</w:t>
            </w:r>
            <w:r>
              <w:br/>
            </w:r>
            <w:r>
              <w:br/>
            </w:r>
            <w:r w:rsidRPr="0AFA2071" w:rsidR="0AFA2071">
              <w:rPr>
                <w:rFonts w:ascii="Calibri" w:hAnsi="Calibri" w:eastAsia="Calibri" w:cs="Calibri"/>
                <w:noProof w:val="0"/>
                <w:color w:val="333333"/>
                <w:sz w:val="24"/>
                <w:szCs w:val="24"/>
                <w:lang w:val="en-GB"/>
              </w:rPr>
              <w:t>The Breaking Point report sends clear calls to action for a rejuvenated, efficient approach to fracture care and prevention, as well as the need for osteoporosis to become a national priority. Alongside the report there are four 'Calls to Action' for politicians, commissioners, health care professionals and patients. A copy of the actual report and the 'Calls to Action' can be downloaded below.</w:t>
            </w:r>
            <w:r>
              <w:br/>
            </w:r>
            <w:r>
              <w:br/>
            </w:r>
            <w:r w:rsidRPr="0AFA2071" w:rsidR="0AFA2071">
              <w:rPr>
                <w:rFonts w:ascii="Calibri" w:hAnsi="Calibri" w:eastAsia="Calibri" w:cs="Calibri"/>
                <w:noProof w:val="0"/>
                <w:color w:val="333333"/>
                <w:sz w:val="24"/>
                <w:szCs w:val="24"/>
                <w:lang w:val="en-GB"/>
              </w:rPr>
              <w:t>The ILC-UK organised the launch of the Breaking Point report on 11 October 2010.</w:t>
            </w:r>
            <w:r>
              <w:br/>
            </w:r>
            <w:r>
              <w:br/>
            </w:r>
            <w:r w:rsidRPr="0AFA2071" w:rsidR="0AFA2071">
              <w:rPr>
                <w:rFonts w:ascii="Calibri" w:hAnsi="Calibri" w:eastAsia="Calibri" w:cs="Calibri"/>
                <w:noProof w:val="0"/>
                <w:color w:val="333333"/>
                <w:sz w:val="24"/>
                <w:szCs w:val="24"/>
                <w:lang w:val="en-GB"/>
              </w:rPr>
              <w:t xml:space="preserve">The event was hosted by Baroness Sally </w:t>
            </w:r>
            <w:proofErr w:type="spellStart"/>
            <w:r w:rsidRPr="0AFA2071" w:rsidR="0AFA2071">
              <w:rPr>
                <w:rFonts w:ascii="Calibri" w:hAnsi="Calibri" w:eastAsia="Calibri" w:cs="Calibri"/>
                <w:noProof w:val="0"/>
                <w:color w:val="333333"/>
                <w:sz w:val="24"/>
                <w:szCs w:val="24"/>
                <w:lang w:val="en-GB"/>
              </w:rPr>
              <w:t>Greengross</w:t>
            </w:r>
            <w:proofErr w:type="spellEnd"/>
            <w:r w:rsidRPr="0AFA2071" w:rsidR="0AFA2071">
              <w:rPr>
                <w:rFonts w:ascii="Calibri" w:hAnsi="Calibri" w:eastAsia="Calibri" w:cs="Calibri"/>
                <w:noProof w:val="0"/>
                <w:color w:val="333333"/>
                <w:sz w:val="24"/>
                <w:szCs w:val="24"/>
                <w:lang w:val="en-GB"/>
              </w:rPr>
              <w:t>, OBE, and the speakers included:</w:t>
            </w:r>
            <w:r>
              <w:br/>
            </w:r>
            <w:r w:rsidRPr="0AFA2071" w:rsidR="0AFA2071">
              <w:rPr>
                <w:rFonts w:ascii="Calibri" w:hAnsi="Calibri" w:eastAsia="Calibri" w:cs="Calibri"/>
                <w:noProof w:val="0"/>
                <w:color w:val="333333"/>
                <w:sz w:val="24"/>
                <w:szCs w:val="24"/>
                <w:lang w:val="en-GB"/>
              </w:rPr>
              <w:t>* Professor David Oliver, National Clinical Director for Older People, Department of Health</w:t>
            </w:r>
            <w:r>
              <w:br/>
            </w:r>
            <w:r w:rsidRPr="0AFA2071" w:rsidR="0AFA2071">
              <w:rPr>
                <w:rFonts w:ascii="Calibri" w:hAnsi="Calibri" w:eastAsia="Calibri" w:cs="Calibri"/>
                <w:noProof w:val="0"/>
                <w:color w:val="333333"/>
                <w:sz w:val="24"/>
                <w:szCs w:val="24"/>
                <w:lang w:val="en-GB"/>
              </w:rPr>
              <w:t>* Paul Mitchell, Chair of the Breaking Point report Editorial Board</w:t>
            </w:r>
            <w:r>
              <w:br/>
            </w:r>
            <w:r w:rsidRPr="0AFA2071" w:rsidR="0AFA2071">
              <w:rPr>
                <w:rFonts w:ascii="Calibri" w:hAnsi="Calibri" w:eastAsia="Calibri" w:cs="Calibri"/>
                <w:noProof w:val="0"/>
                <w:color w:val="333333"/>
                <w:sz w:val="24"/>
                <w:szCs w:val="24"/>
                <w:lang w:val="en-GB"/>
              </w:rPr>
              <w:t xml:space="preserve">* Dr Alun Cooper, </w:t>
            </w:r>
            <w:proofErr w:type="spellStart"/>
            <w:r w:rsidRPr="0AFA2071" w:rsidR="0AFA2071">
              <w:rPr>
                <w:rFonts w:ascii="Calibri" w:hAnsi="Calibri" w:eastAsia="Calibri" w:cs="Calibri"/>
                <w:noProof w:val="0"/>
                <w:color w:val="333333"/>
                <w:sz w:val="24"/>
                <w:szCs w:val="24"/>
                <w:lang w:val="en-GB"/>
              </w:rPr>
              <w:t>GPwSI</w:t>
            </w:r>
            <w:proofErr w:type="spellEnd"/>
            <w:r w:rsidRPr="0AFA2071" w:rsidR="0AFA2071">
              <w:rPr>
                <w:rFonts w:ascii="Calibri" w:hAnsi="Calibri" w:eastAsia="Calibri" w:cs="Calibri"/>
                <w:noProof w:val="0"/>
                <w:color w:val="333333"/>
                <w:sz w:val="24"/>
                <w:szCs w:val="24"/>
                <w:lang w:val="en-GB"/>
              </w:rPr>
              <w:t xml:space="preserve"> in Osteoporosis</w:t>
            </w:r>
          </w:p>
          <w:p w:rsidRPr="0099243E" w:rsidR="008A634A" w:rsidP="0099243E" w:rsidRDefault="008A634A" w14:paraId="145C65C5" w14:noSpellErr="1" w14:textId="21631153">
            <w:pPr>
              <w:rPr>
                <w:rFonts w:asciiTheme="majorHAnsi" w:hAnsiTheme="majorHAnsi"/>
              </w:rPr>
            </w:pPr>
            <w:r w:rsidRPr="0AFA2071" w:rsidR="0AFA2071">
              <w:rPr>
                <w:rFonts w:ascii="Calibri" w:hAnsi="Calibri" w:eastAsia="Calibri" w:cs="Calibri"/>
                <w:noProof w:val="0"/>
                <w:color w:val="333333"/>
                <w:sz w:val="24"/>
                <w:szCs w:val="24"/>
                <w:lang w:val="en-GB"/>
              </w:rPr>
              <w:t>A Call to Action for:</w:t>
            </w:r>
            <w:r>
              <w:br/>
            </w:r>
            <w:r w:rsidRPr="0AFA2071" w:rsidR="0AFA2071">
              <w:rPr>
                <w:rFonts w:ascii="Calibri" w:hAnsi="Calibri" w:eastAsia="Calibri" w:cs="Calibri"/>
                <w:noProof w:val="0"/>
                <w:color w:val="333333"/>
                <w:sz w:val="24"/>
                <w:szCs w:val="24"/>
                <w:lang w:val="en-GB"/>
              </w:rPr>
              <w:t xml:space="preserve">* </w:t>
            </w:r>
            <w:hyperlink r:id="Reef3ad6b38d04fbe">
              <w:r w:rsidRPr="0AFA2071" w:rsidR="0AFA2071">
                <w:rPr>
                  <w:rStyle w:val="Hyperlink"/>
                  <w:rFonts w:ascii="Calibri" w:hAnsi="Calibri" w:eastAsia="Calibri" w:cs="Calibri"/>
                  <w:noProof w:val="0"/>
                  <w:color w:val="1D579D"/>
                  <w:sz w:val="24"/>
                  <w:szCs w:val="24"/>
                  <w:lang w:val="en-GB"/>
                </w:rPr>
                <w:t>Politicians</w:t>
              </w:r>
              <w:r>
                <w:br/>
              </w:r>
            </w:hyperlink>
            <w:r w:rsidRPr="0AFA2071" w:rsidR="0AFA2071">
              <w:rPr>
                <w:rFonts w:ascii="Calibri" w:hAnsi="Calibri" w:eastAsia="Calibri" w:cs="Calibri"/>
                <w:noProof w:val="0"/>
                <w:color w:val="333333"/>
                <w:sz w:val="24"/>
                <w:szCs w:val="24"/>
                <w:lang w:val="en-GB"/>
              </w:rPr>
              <w:t xml:space="preserve">* </w:t>
            </w:r>
            <w:hyperlink r:id="R30fba65e353b4773">
              <w:r w:rsidRPr="0AFA2071" w:rsidR="0AFA2071">
                <w:rPr>
                  <w:rStyle w:val="Hyperlink"/>
                  <w:rFonts w:ascii="Calibri" w:hAnsi="Calibri" w:eastAsia="Calibri" w:cs="Calibri"/>
                  <w:noProof w:val="0"/>
                  <w:color w:val="1D579D"/>
                  <w:sz w:val="24"/>
                  <w:szCs w:val="24"/>
                  <w:lang w:val="en-GB"/>
                </w:rPr>
                <w:t>Commissioners</w:t>
              </w:r>
              <w:r>
                <w:br/>
              </w:r>
            </w:hyperlink>
            <w:r w:rsidRPr="0AFA2071" w:rsidR="0AFA2071">
              <w:rPr>
                <w:rFonts w:ascii="Calibri" w:hAnsi="Calibri" w:eastAsia="Calibri" w:cs="Calibri"/>
                <w:noProof w:val="0"/>
                <w:color w:val="333333"/>
                <w:sz w:val="24"/>
                <w:szCs w:val="24"/>
                <w:lang w:val="en-GB"/>
              </w:rPr>
              <w:t xml:space="preserve">* </w:t>
            </w:r>
            <w:hyperlink r:id="R1995270b10bd47e1">
              <w:r w:rsidRPr="0AFA2071" w:rsidR="0AFA2071">
                <w:rPr>
                  <w:rStyle w:val="Hyperlink"/>
                  <w:rFonts w:ascii="Calibri" w:hAnsi="Calibri" w:eastAsia="Calibri" w:cs="Calibri"/>
                  <w:noProof w:val="0"/>
                  <w:color w:val="1D579D"/>
                  <w:sz w:val="24"/>
                  <w:szCs w:val="24"/>
                  <w:lang w:val="en-GB"/>
                </w:rPr>
                <w:t>Health Care Professionals</w:t>
              </w:r>
              <w:r>
                <w:br/>
              </w:r>
            </w:hyperlink>
            <w:r w:rsidRPr="0AFA2071" w:rsidR="0AFA2071">
              <w:rPr>
                <w:rFonts w:ascii="Calibri" w:hAnsi="Calibri" w:eastAsia="Calibri" w:cs="Calibri"/>
                <w:noProof w:val="0"/>
                <w:color w:val="333333"/>
                <w:sz w:val="24"/>
                <w:szCs w:val="24"/>
                <w:lang w:val="en-GB"/>
              </w:rPr>
              <w:t xml:space="preserve">* </w:t>
            </w:r>
            <w:hyperlink r:id="Rb1e402b9e4fd48e7">
              <w:r w:rsidRPr="0AFA2071" w:rsidR="0AFA2071">
                <w:rPr>
                  <w:rStyle w:val="Hyperlink"/>
                  <w:rFonts w:ascii="Calibri" w:hAnsi="Calibri" w:eastAsia="Calibri" w:cs="Calibri"/>
                  <w:noProof w:val="0"/>
                  <w:color w:val="1D579D"/>
                  <w:sz w:val="24"/>
                  <w:szCs w:val="24"/>
                  <w:lang w:val="en-GB"/>
                </w:rPr>
                <w:t>Patients</w:t>
              </w:r>
            </w:hyperlink>
          </w:p>
        </w:tc>
      </w:tr>
      <w:tr w:rsidR="008A634A" w:rsidTr="0AFA2071"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0AFA2071"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AFA2071"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0AFA2071"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0AFA2071"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0AFA2071"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0AFA2071"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0AFA2071"/>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pdf_pdf_147.pdf" TargetMode="External" Id="Reef3ad6b38d04fbe" /><Relationship Type="http://schemas.openxmlformats.org/officeDocument/2006/relationships/hyperlink" Target="http://www.ilcuk.org.uk/images/uploads/publication-pdfs/pdf_pdf_144.pdf" TargetMode="External" Id="R30fba65e353b4773" /><Relationship Type="http://schemas.openxmlformats.org/officeDocument/2006/relationships/hyperlink" Target="http://www.ilcuk.org.uk/images/uploads/publication-pdfs/pdf_pdf_145.pdf" TargetMode="External" Id="R1995270b10bd47e1" /><Relationship Type="http://schemas.openxmlformats.org/officeDocument/2006/relationships/hyperlink" Target="http://www.ilcuk.org.uk/images/uploads/publication-pdfs/pdf_pdf_146.pdf" TargetMode="External" Id="Rb1e402b9e4fd48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2018-07-16T09:01:02.8634049Z</dcterms:modified>
</coreProperties>
</file>