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1F5C4DF0"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0099243E" w:rsidRDefault="008A634A" w14:paraId="79ABEC62" w14:textId="207A21E3">
            <w:pPr>
              <w:rPr>
                <w:rFonts w:asciiTheme="majorHAnsi" w:hAnsiTheme="majorHAnsi"/>
                <w:b/>
              </w:rPr>
            </w:pPr>
            <w:r w:rsidRPr="008066C6">
              <w:rPr>
                <w:rFonts w:asciiTheme="majorHAnsi" w:hAnsiTheme="majorHAnsi"/>
                <w:b/>
              </w:rPr>
              <w:t>Publication</w:t>
            </w:r>
          </w:p>
        </w:tc>
      </w:tr>
      <w:tr w:rsidR="008A634A" w:rsidTr="1F5C4DF0"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1F5C4DF0" w:rsidRDefault="008A634A" w14:paraId="18F6B4F6" w14:noSpellErr="1" w14:textId="4A7EA7FE">
            <w:pPr>
              <w:rPr>
                <w:rFonts w:ascii="Calibri" w:hAnsi="Calibri" w:eastAsia="Calibri" w:cs="Calibri" w:asciiTheme="majorAscii" w:hAnsiTheme="majorAscii" w:eastAsiaTheme="majorAscii" w:cstheme="majorAscii"/>
              </w:rPr>
            </w:pPr>
            <w:r w:rsidRPr="1F5C4DF0" w:rsidR="1F5C4DF0">
              <w:rPr>
                <w:rFonts w:ascii="Calibri" w:hAnsi="Calibri" w:eastAsia="Calibri" w:cs="Calibri" w:asciiTheme="majorAscii" w:hAnsiTheme="majorAscii" w:eastAsiaTheme="majorAscii" w:cstheme="majorAscii"/>
              </w:rPr>
              <w:t>1 January 2011</w:t>
            </w:r>
          </w:p>
        </w:tc>
      </w:tr>
      <w:tr w:rsidR="008A634A" w:rsidTr="1F5C4DF0"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1F5C4DF0" w:rsidRDefault="008A634A" w14:paraId="647E4217" w14:noSpellErr="1" w14:textId="4F41B72C">
            <w:pPr>
              <w:pStyle w:val="Normal"/>
              <w:rPr>
                <w:rFonts w:asciiTheme="majorHAnsi" w:hAnsiTheme="majorHAnsi"/>
              </w:rPr>
            </w:pPr>
            <w:r w:rsidRPr="1F5C4DF0" w:rsidR="1F5C4DF0">
              <w:rPr>
                <w:rFonts w:ascii="Calibri" w:hAnsi="Calibri" w:eastAsia="Calibri" w:cs="Calibri"/>
                <w:b w:val="1"/>
                <w:bCs w:val="1"/>
                <w:noProof w:val="0"/>
                <w:color w:val="333333"/>
                <w:sz w:val="21"/>
                <w:szCs w:val="21"/>
                <w:lang w:val="en-GB"/>
              </w:rPr>
              <w:t>Good Neighbours: Measuring Quality of Life in Old Age</w:t>
            </w:r>
          </w:p>
        </w:tc>
      </w:tr>
      <w:tr w:rsidR="008A634A" w:rsidTr="1F5C4DF0"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1F5C4DF0" w:rsidRDefault="008A634A" w14:paraId="3988024A" w14:noSpellErr="1" w14:textId="448D1A35">
            <w:pPr>
              <w:pStyle w:val="Normal"/>
              <w:rPr>
                <w:rFonts w:asciiTheme="majorHAnsi" w:hAnsiTheme="majorHAnsi"/>
              </w:rPr>
            </w:pPr>
            <w:r w:rsidRPr="1F5C4DF0" w:rsidR="1F5C4DF0">
              <w:rPr>
                <w:rFonts w:ascii="Calibri" w:hAnsi="Calibri" w:eastAsia="Calibri" w:cs="Calibri"/>
                <w:noProof w:val="0"/>
                <w:color w:val="333333"/>
                <w:sz w:val="24"/>
                <w:szCs w:val="24"/>
                <w:lang w:val="en-GB"/>
              </w:rPr>
              <w:t>Increasing numbers of older people, higher expectations for ‘a good life’, and demands on health and social care services, have led to international interest in improving and measuring quality of life in older age.</w:t>
            </w:r>
          </w:p>
        </w:tc>
      </w:tr>
      <w:tr w:rsidR="008A634A" w:rsidTr="1F5C4DF0"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paraId="1ED671EF" w14:textId="456612C1">
            <w:pPr/>
            <w:r w:rsidRPr="1F5C4DF0" w:rsidR="1F5C4DF0">
              <w:rPr>
                <w:rFonts w:ascii="Calibri" w:hAnsi="Calibri" w:eastAsia="Calibri" w:cs="Calibri"/>
                <w:noProof w:val="0"/>
                <w:color w:val="333333"/>
                <w:sz w:val="24"/>
                <w:szCs w:val="24"/>
                <w:lang w:val="en-GB"/>
              </w:rPr>
              <w:t>However, most measures of quality of life have been based on ‘expert’ opinion. If the expert-led measures of quality of life don’t measure the right things, policy makers may end up making the wrong policy interventions.</w:t>
            </w:r>
          </w:p>
          <w:p w:rsidRPr="0099243E" w:rsidR="008A634A" w:rsidP="0099243E" w:rsidRDefault="008A634A" w14:paraId="43DCE171" w14:textId="6D5FE0D3">
            <w:pPr/>
            <w:r w:rsidRPr="1F5C4DF0" w:rsidR="1F5C4DF0">
              <w:rPr>
                <w:rFonts w:ascii="Calibri" w:hAnsi="Calibri" w:eastAsia="Calibri" w:cs="Calibri"/>
                <w:noProof w:val="0"/>
                <w:color w:val="333333"/>
                <w:sz w:val="24"/>
                <w:szCs w:val="24"/>
                <w:lang w:val="en-GB"/>
              </w:rPr>
              <w:t>Since 1999, Professor Ann Bowling and colleagues, funded by the Economic and Social Research Council, have been formulating a new measure of quality of life based on the priorities of older people. This research has used in depth interviews with the public to gain an idea of the contributory factors to older people’s wellbeing.</w:t>
            </w:r>
          </w:p>
          <w:p w:rsidRPr="0099243E" w:rsidR="008A634A" w:rsidP="0099243E" w:rsidRDefault="008A634A" w14:paraId="2653224A" w14:textId="543DAF0A">
            <w:pPr/>
            <w:r w:rsidRPr="1F5C4DF0" w:rsidR="1F5C4DF0">
              <w:rPr>
                <w:rFonts w:ascii="Calibri" w:hAnsi="Calibri" w:eastAsia="Calibri" w:cs="Calibri"/>
                <w:noProof w:val="0"/>
                <w:color w:val="333333"/>
                <w:sz w:val="24"/>
                <w:szCs w:val="24"/>
                <w:lang w:val="en-GB"/>
              </w:rPr>
              <w:t>An ILC-UK debate, joint with the Actuarial Profession, was held on this topic on Tuesday 10th May.</w:t>
            </w:r>
          </w:p>
          <w:p w:rsidRPr="0099243E" w:rsidR="008A634A" w:rsidP="0099243E" w:rsidRDefault="008A634A" w14:paraId="74AD3ADB" w14:textId="21EBAA0F">
            <w:pPr/>
            <w:r w:rsidRPr="1F5C4DF0" w:rsidR="1F5C4DF0">
              <w:rPr>
                <w:rFonts w:ascii="Calibri" w:hAnsi="Calibri" w:eastAsia="Calibri" w:cs="Calibri"/>
                <w:noProof w:val="0"/>
                <w:color w:val="333333"/>
                <w:sz w:val="24"/>
                <w:szCs w:val="24"/>
                <w:lang w:val="en-GB"/>
              </w:rPr>
              <w:t>Professor Ann Bowling in collaboration with ILC-UK will also be presenting this research at four regional events with The Greater London Forum, Centre for Ageing Research and Development in Ireland (CARDI), the Cambridge Older People’s Enterprise (COPE) and the Derby 50+ Forum.</w:t>
            </w:r>
          </w:p>
          <w:p w:rsidRPr="0099243E" w:rsidR="008A634A" w:rsidP="0099243E" w:rsidRDefault="008A634A" w14:paraId="411A3066" w14:textId="08C6E6F2">
            <w:pPr/>
            <w:r w:rsidRPr="1F5C4DF0" w:rsidR="1F5C4DF0">
              <w:rPr>
                <w:rFonts w:ascii="Calibri" w:hAnsi="Calibri" w:eastAsia="Calibri" w:cs="Calibri"/>
                <w:noProof w:val="0"/>
                <w:color w:val="333333"/>
                <w:sz w:val="24"/>
                <w:szCs w:val="24"/>
                <w:lang w:val="en-GB"/>
              </w:rPr>
              <w:t>The report of this research: 'Good Neighbours' can be downloaded below in summary and in full. Also available for download is the questionnaire used in the research.</w:t>
            </w:r>
          </w:p>
          <w:p w:rsidRPr="0099243E" w:rsidR="008A634A" w:rsidP="0099243E" w:rsidRDefault="008A634A" w14:paraId="713A144C" w14:textId="242B9730">
            <w:pPr/>
            <w:hyperlink r:id="Rdfd1be486faa4d21">
              <w:r w:rsidRPr="1F5C4DF0" w:rsidR="1F5C4DF0">
                <w:rPr>
                  <w:rStyle w:val="Hyperlink"/>
                  <w:rFonts w:ascii="Calibri" w:hAnsi="Calibri" w:eastAsia="Calibri" w:cs="Calibri"/>
                  <w:noProof w:val="0"/>
                  <w:color w:val="1D579D"/>
                  <w:sz w:val="24"/>
                  <w:szCs w:val="24"/>
                  <w:lang w:val="en-GB"/>
                </w:rPr>
                <w:t>Good Neighbours Findings Full Report</w:t>
              </w:r>
            </w:hyperlink>
          </w:p>
          <w:p w:rsidRPr="0099243E" w:rsidR="008A634A" w:rsidP="0099243E" w:rsidRDefault="008A634A" w14:paraId="7E877C97" w14:textId="22DDF236">
            <w:pPr/>
            <w:hyperlink r:id="R0350baa48b6a4ee7">
              <w:r w:rsidRPr="1F5C4DF0" w:rsidR="1F5C4DF0">
                <w:rPr>
                  <w:rStyle w:val="Hyperlink"/>
                  <w:rFonts w:ascii="Calibri" w:hAnsi="Calibri" w:eastAsia="Calibri" w:cs="Calibri"/>
                  <w:noProof w:val="0"/>
                  <w:color w:val="1D579D"/>
                  <w:sz w:val="24"/>
                  <w:szCs w:val="24"/>
                  <w:lang w:val="en-GB"/>
                </w:rPr>
                <w:t>Good Neighbours Summary</w:t>
              </w:r>
            </w:hyperlink>
            <w:r w:rsidRPr="1F5C4DF0" w:rsidR="1F5C4DF0">
              <w:rPr>
                <w:rFonts w:ascii="Calibri" w:hAnsi="Calibri" w:eastAsia="Calibri" w:cs="Calibri"/>
                <w:noProof w:val="0"/>
                <w:color w:val="1D579D"/>
                <w:sz w:val="24"/>
                <w:szCs w:val="24"/>
                <w:lang w:val="en-GB"/>
              </w:rPr>
              <w:t xml:space="preserve"> (also available to view below)</w:t>
            </w:r>
          </w:p>
          <w:p w:rsidRPr="0099243E" w:rsidR="008A634A" w:rsidP="0099243E" w:rsidRDefault="008A634A" w14:paraId="68829810" w14:textId="1B0BC863">
            <w:pPr/>
            <w:hyperlink r:id="R488b5fafdfb44913">
              <w:r w:rsidRPr="1F5C4DF0" w:rsidR="1F5C4DF0">
                <w:rPr>
                  <w:rStyle w:val="Hyperlink"/>
                  <w:rFonts w:ascii="Calibri" w:hAnsi="Calibri" w:eastAsia="Calibri" w:cs="Calibri"/>
                  <w:noProof w:val="0"/>
                  <w:color w:val="1D579D"/>
                  <w:sz w:val="24"/>
                  <w:szCs w:val="24"/>
                  <w:lang w:val="en-GB"/>
                </w:rPr>
                <w:t>Questionnaire</w:t>
              </w:r>
            </w:hyperlink>
          </w:p>
          <w:p w:rsidRPr="0099243E" w:rsidR="008A634A" w:rsidP="0099243E" w:rsidRDefault="008A634A" w14:paraId="0493605D" w14:textId="5F1ACD26">
            <w:pPr/>
            <w:hyperlink r:id="R29ba711e07b749db">
              <w:r w:rsidRPr="1F5C4DF0" w:rsidR="1F5C4DF0">
                <w:rPr>
                  <w:rStyle w:val="Hyperlink"/>
                  <w:rFonts w:ascii="Calibri" w:hAnsi="Calibri" w:eastAsia="Calibri" w:cs="Calibri"/>
                  <w:noProof w:val="0"/>
                  <w:color w:val="1D579D"/>
                  <w:sz w:val="24"/>
                  <w:szCs w:val="24"/>
                  <w:lang w:val="en-GB"/>
                </w:rPr>
                <w:t>OPQOL Brief Questionnaire and Responses</w:t>
              </w:r>
            </w:hyperlink>
          </w:p>
          <w:p w:rsidRPr="0099243E" w:rsidR="008A634A" w:rsidP="0099243E" w:rsidRDefault="008A634A" w14:paraId="1A4B6D41" w14:textId="73C2C8BA">
            <w:pPr/>
            <w:hyperlink r:id="Ra9f03a831cb743e6">
              <w:r w:rsidRPr="1F5C4DF0" w:rsidR="1F5C4DF0">
                <w:rPr>
                  <w:rStyle w:val="Hyperlink"/>
                  <w:rFonts w:ascii="Calibri" w:hAnsi="Calibri" w:eastAsia="Calibri" w:cs="Calibri"/>
                  <w:noProof w:val="0"/>
                  <w:color w:val="1D579D"/>
                  <w:sz w:val="24"/>
                  <w:szCs w:val="24"/>
                  <w:lang w:val="en-GB"/>
                </w:rPr>
                <w:t>Scoring and norms for the questionnaire</w:t>
              </w:r>
            </w:hyperlink>
          </w:p>
          <w:p w:rsidRPr="0099243E" w:rsidR="008A634A" w:rsidP="0099243E" w:rsidRDefault="008A634A" w14:paraId="4A743362" w14:textId="04F969B2">
            <w:pPr/>
            <w:hyperlink r:id="Rad2df616cd714dfe">
              <w:r w:rsidRPr="1F5C4DF0" w:rsidR="1F5C4DF0">
                <w:rPr>
                  <w:rStyle w:val="Hyperlink"/>
                  <w:rFonts w:ascii="Calibri" w:hAnsi="Calibri" w:eastAsia="Calibri" w:cs="Calibri"/>
                  <w:noProof w:val="0"/>
                  <w:color w:val="1D579D"/>
                  <w:sz w:val="24"/>
                  <w:szCs w:val="24"/>
                  <w:lang w:val="en-GB"/>
                </w:rPr>
                <w:t>An impact report of the dissemination work conducted by ILC-UK on behalf of Professor Bowling and ESRC</w:t>
              </w:r>
            </w:hyperlink>
          </w:p>
          <w:p w:rsidRPr="0099243E" w:rsidR="008A634A" w:rsidP="0099243E" w:rsidRDefault="008A634A" w14:paraId="145C65C5" w14:textId="6D6C7D34">
            <w:pPr>
              <w:rPr>
                <w:rFonts w:asciiTheme="majorHAnsi" w:hAnsiTheme="majorHAnsi"/>
              </w:rPr>
            </w:pPr>
            <w:hyperlink r:id="Rcdf33ed0767041b6">
              <w:r w:rsidRPr="1F5C4DF0" w:rsidR="1F5C4DF0">
                <w:rPr>
                  <w:rStyle w:val="Hyperlink"/>
                  <w:rFonts w:ascii="Calibri" w:hAnsi="Calibri" w:eastAsia="Calibri" w:cs="Calibri"/>
                  <w:noProof w:val="0"/>
                  <w:color w:val="1D579D"/>
                  <w:sz w:val="24"/>
                  <w:szCs w:val="24"/>
                  <w:lang w:val="en-GB"/>
                </w:rPr>
                <w:t>Powerpoint of the ILC-UK and Actuarial Profession Joint Debate</w:t>
              </w:r>
            </w:hyperlink>
            <w:r w:rsidRPr="1F5C4DF0" w:rsidR="1F5C4DF0">
              <w:rPr>
                <w:rFonts w:ascii="Calibri" w:hAnsi="Calibri" w:eastAsia="Calibri" w:cs="Calibri"/>
                <w:noProof w:val="0"/>
                <w:color w:val="1D579D"/>
                <w:sz w:val="24"/>
                <w:szCs w:val="24"/>
                <w:lang w:val="en-GB"/>
              </w:rPr>
              <w:t>:</w:t>
            </w:r>
          </w:p>
        </w:tc>
      </w:tr>
      <w:tr w:rsidR="008A634A" w:rsidTr="1F5C4DF0"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0"/>
            <w:r>
              <w:rPr>
                <w:rFonts w:asciiTheme="majorHAnsi" w:hAnsiTheme="majorHAnsi"/>
              </w:rPr>
              <w:instrText xml:space="preserve"> FORMCHECKBOX </w:instrText>
            </w:r>
            <w:r>
              <w:fldChar w:fldCharType="separate"/>
            </w:r>
            <w:r>
              <w:rPr>
                <w:rFonts w:asciiTheme="majorHAnsi" w:hAnsiTheme="majorHAnsi"/>
              </w:rPr>
              <w:fldChar w:fldCharType="end"/>
            </w:r>
            <w:bookmarkEnd w:id="0"/>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Productivity</w:t>
            </w:r>
          </w:p>
        </w:tc>
      </w:tr>
      <w:tr w:rsidR="008A634A" w:rsidTr="1F5C4DF0"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1F5C4DF0"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Savings</w:t>
            </w:r>
          </w:p>
        </w:tc>
      </w:tr>
      <w:tr w:rsidR="008A634A" w:rsidTr="1F5C4DF0"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1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Social care</w:t>
            </w:r>
          </w:p>
        </w:tc>
      </w:tr>
      <w:tr w:rsidR="008A634A" w:rsidTr="1F5C4DF0"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Transport</w:t>
            </w:r>
          </w:p>
        </w:tc>
      </w:tr>
      <w:tr w:rsidR="008A634A" w:rsidTr="1F5C4DF0"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2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Work</w:t>
            </w:r>
          </w:p>
        </w:tc>
      </w:tr>
      <w:tr w:rsidR="008A634A" w:rsidTr="1F5C4DF0"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3"/>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bookmarkEnd w:id="33"/>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Pr>
                <w:rFonts w:cs="Raleway-Regular" w:asciiTheme="majorHAnsi" w:hAnsiTheme="majorHAnsi"/>
                <w:lang w:val="en-US"/>
              </w:rPr>
              <w:t>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bookmarkStart w:name="_GoBack" w:id="34"/>
      <w:bookmarkEnd w:id="34"/>
    </w:p>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483475"/>
    <w:rsid w:val="008066C6"/>
    <w:rsid w:val="008A634A"/>
    <w:rsid w:val="0095584E"/>
    <w:rsid w:val="00985B51"/>
    <w:rsid w:val="0099243E"/>
    <w:rsid w:val="00A15EFD"/>
    <w:rsid w:val="00D768B6"/>
    <w:rsid w:val="00E84814"/>
    <w:rsid w:val="00EA3EC2"/>
    <w:rsid w:val="00ED4099"/>
    <w:rsid w:val="03C4207D"/>
    <w:rsid w:val="1F5C4D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ilcuk.org.uk/images/uploads/publication-pdfs/pdf_pdf_159.pdf" TargetMode="External" Id="Rdfd1be486faa4d21" /><Relationship Type="http://schemas.openxmlformats.org/officeDocument/2006/relationships/hyperlink" Target="http://www.ilcuk.org.uk/images/uploads/publication-pdfs/pdf_pdf_162.pdf" TargetMode="External" Id="R0350baa48b6a4ee7" /><Relationship Type="http://schemas.openxmlformats.org/officeDocument/2006/relationships/hyperlink" Target="http://www.ilcuk.org.uk/images/uploads/publication-pdfs/pdf_pdf_161.pdf" TargetMode="External" Id="R488b5fafdfb44913" /><Relationship Type="http://schemas.openxmlformats.org/officeDocument/2006/relationships/hyperlink" Target="http://www.ilcuk.org.uk/images/uploads/publication-pdfs/OPQOL_brief_questionnaire_and_responses.pdf" TargetMode="External" Id="R29ba711e07b749db" /><Relationship Type="http://schemas.openxmlformats.org/officeDocument/2006/relationships/hyperlink" Target="http://www.ilcuk.org.uk/images/uploads/publication-pdfs/OPQOL_scoring_and_norms_for_the_questionnaire_.pdf" TargetMode="External" Id="Ra9f03a831cb743e6" /><Relationship Type="http://schemas.openxmlformats.org/officeDocument/2006/relationships/hyperlink" Target="http://www.ilcuk.org.uk/images/uploads/publication-pdfs/pdf_pdf_192.pdf" TargetMode="External" Id="Rad2df616cd714dfe" /><Relationship Type="http://schemas.openxmlformats.org/officeDocument/2006/relationships/hyperlink" Target="http://www.slideshare.net/ILC-UK/ilc-uk-presentation-measuring-quality-of-life" TargetMode="External" Id="Rcdf33ed0767041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7</revision>
  <dcterms:created xsi:type="dcterms:W3CDTF">2018-05-25T16:39:00.0000000Z</dcterms:created>
  <dcterms:modified xsi:type="dcterms:W3CDTF">2018-06-27T13:23:52.0633930Z</dcterms:modified>
</coreProperties>
</file>